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乳源瑶族自治县住房和城乡建设</w:t>
      </w:r>
      <w:r>
        <w:rPr>
          <w:rFonts w:hint="eastAsia" w:ascii="仿宋_GB2312" w:eastAsia="仿宋_GB2312"/>
          <w:sz w:val="32"/>
          <w:szCs w:val="32"/>
          <w:lang w:eastAsia="zh-CN"/>
        </w:rPr>
        <w:t>管理</w:t>
      </w:r>
      <w:r>
        <w:rPr>
          <w:rFonts w:hint="eastAsia" w:ascii="仿宋_GB2312" w:eastAsia="仿宋_GB2312"/>
          <w:sz w:val="32"/>
          <w:szCs w:val="32"/>
        </w:rPr>
        <w:t>局主要职能：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执行国家和省市有关城乡建设、城市管理的方针政策、法律、法规和规章；对本地区城乡建设、城市管理、建筑业、住宅房地产业、勘察设计咨询业及市政公用事业进行行业管理；负责对建设工程项目、市政和管线项目的设计、放线、验线、复线的管理工作；负责城市经济适用住房、廉租房和政策性租赁房等保障性住房的规划建设和分配管理工作；负责房屋建筑和市政基础设施工程招标投标活动备案和监督；负责市政设施建设和维护的监督管理；承担房屋建筑和市政基础设施工程质量安全监管的责任；承担推进建筑节能减排和行业科技发展的责任，负责建材产品准入使用和建筑节能、新型墙体材料、绿色建筑以及散装水泥的管理工作，负责新技术新材料的推广应用；负责城市绿化的监督管理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1、保障县城LED改造路灯正常运营及维护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2、县城路灯亮化率达标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3、LED照明设施完好率达标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根据对该项目自评结果得出，该项目自评得分为100分。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1429703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1429703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保障城市LED路灯及照明设备正常运转，有利于发展夜间经济，促进县域进经济发展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，保障居民夜间正常照明通行，提升社会安全感，确保社会稳定，提高路灯亮化率，节约用电，有效避免电资源浪费。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A5F44"/>
    <w:multiLevelType w:val="singleLevel"/>
    <w:tmpl w:val="C39A5F4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183EB2C"/>
    <w:multiLevelType w:val="singleLevel"/>
    <w:tmpl w:val="F183EB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MDIwZDc1MGM2OGMwZDgzZDE0MmFlYjZiOGU5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5645BA7"/>
    <w:rsid w:val="1BEA0FB0"/>
    <w:rsid w:val="22A71D47"/>
    <w:rsid w:val="2A0C3112"/>
    <w:rsid w:val="39921607"/>
    <w:rsid w:val="413063B4"/>
    <w:rsid w:val="468762A1"/>
    <w:rsid w:val="5375086E"/>
    <w:rsid w:val="5D845EA0"/>
    <w:rsid w:val="5DA9727B"/>
    <w:rsid w:val="73E4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uiPriority w:val="39"/>
    <w:pPr>
      <w:ind w:left="420" w:leftChars="2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789</Words>
  <Characters>799</Characters>
  <Lines>1</Lines>
  <Paragraphs>1</Paragraphs>
  <TotalTime>9</TotalTime>
  <ScaleCrop>false</ScaleCrop>
  <LinksUpToDate>false</LinksUpToDate>
  <CharactersWithSpaces>799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CYH</cp:lastModifiedBy>
  <cp:lastPrinted>2018-10-25T02:57:00Z</cp:lastPrinted>
  <dcterms:modified xsi:type="dcterms:W3CDTF">2023-09-19T01:49:27Z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4A34AF8E84384DEB9FDEE30EDE6BD58C</vt:lpwstr>
  </property>
</Properties>
</file>